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ΣΤΟΙΧΕΙΑ ΠΡΟΣΦΕΡΟΝΤΟΣ 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Ημερομηνία: 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Επωνυμία: 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Διεύθυνση: 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proofErr w:type="spellStart"/>
      <w:r w:rsidRPr="006174CB">
        <w:rPr>
          <w:b/>
          <w:bCs/>
          <w:lang w:val="el-GR"/>
        </w:rPr>
        <w:t>Τηλ</w:t>
      </w:r>
      <w:proofErr w:type="spellEnd"/>
      <w:r w:rsidRPr="006174CB">
        <w:rPr>
          <w:b/>
          <w:bCs/>
          <w:lang w:val="el-GR"/>
        </w:rPr>
        <w:t xml:space="preserve">: 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proofErr w:type="spellStart"/>
      <w:r w:rsidRPr="006174CB">
        <w:rPr>
          <w:b/>
          <w:bCs/>
          <w:lang w:val="el-GR"/>
        </w:rPr>
        <w:t>Fax</w:t>
      </w:r>
      <w:proofErr w:type="spellEnd"/>
      <w:r w:rsidRPr="006174CB">
        <w:rPr>
          <w:b/>
          <w:bCs/>
          <w:lang w:val="el-GR"/>
        </w:rPr>
        <w:t>: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email: 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r w:rsidRPr="006174CB">
        <w:rPr>
          <w:b/>
          <w:bCs/>
          <w:lang w:val="el-GR"/>
        </w:rPr>
        <w:t xml:space="preserve">ΠΡΟΣ : ΔΗΜΟ </w:t>
      </w:r>
      <w:r>
        <w:rPr>
          <w:b/>
          <w:bCs/>
          <w:lang w:val="el-GR"/>
        </w:rPr>
        <w:t>ΠΑΙΑΝΙΑΣ</w:t>
      </w:r>
    </w:p>
    <w:p w:rsidR="00ED2773" w:rsidRPr="006174CB" w:rsidRDefault="00ED2773" w:rsidP="00ED2773">
      <w:pPr>
        <w:spacing w:before="57" w:after="57"/>
        <w:rPr>
          <w:b/>
          <w:bCs/>
          <w:lang w:val="el-GR"/>
        </w:rPr>
      </w:pPr>
      <w:proofErr w:type="spellStart"/>
      <w:r w:rsidRPr="006174CB">
        <w:rPr>
          <w:b/>
          <w:bCs/>
          <w:lang w:val="el-GR"/>
        </w:rPr>
        <w:t>Ταχ</w:t>
      </w:r>
      <w:proofErr w:type="spellEnd"/>
      <w:r w:rsidRPr="006174CB">
        <w:rPr>
          <w:b/>
          <w:bCs/>
          <w:lang w:val="el-GR"/>
        </w:rPr>
        <w:t>. Δ/</w:t>
      </w:r>
      <w:proofErr w:type="spellStart"/>
      <w:r w:rsidRPr="006174CB">
        <w:rPr>
          <w:b/>
          <w:bCs/>
          <w:lang w:val="el-GR"/>
        </w:rPr>
        <w:t>νση</w:t>
      </w:r>
      <w:proofErr w:type="spellEnd"/>
      <w:r w:rsidRPr="006174CB">
        <w:rPr>
          <w:b/>
          <w:bCs/>
          <w:lang w:val="el-GR"/>
        </w:rPr>
        <w:t xml:space="preserve"> :  </w:t>
      </w:r>
    </w:p>
    <w:p w:rsidR="00ED2773" w:rsidRDefault="00ED2773" w:rsidP="00ED2773">
      <w:pPr>
        <w:spacing w:before="57" w:after="57"/>
        <w:jc w:val="center"/>
        <w:rPr>
          <w:b/>
          <w:bCs/>
          <w:lang w:val="el-GR"/>
        </w:rPr>
      </w:pPr>
    </w:p>
    <w:p w:rsidR="00ED2773" w:rsidRDefault="00ED2773" w:rsidP="00ED2773">
      <w:pPr>
        <w:spacing w:before="57" w:after="57"/>
        <w:jc w:val="center"/>
        <w:rPr>
          <w:b/>
          <w:bCs/>
          <w:lang w:val="el-GR"/>
        </w:rPr>
      </w:pPr>
      <w:r>
        <w:rPr>
          <w:b/>
          <w:bCs/>
          <w:lang w:val="el-GR"/>
        </w:rPr>
        <w:br/>
      </w:r>
      <w:r w:rsidRPr="006174CB">
        <w:rPr>
          <w:b/>
          <w:bCs/>
          <w:lang w:val="el-GR"/>
        </w:rPr>
        <w:t>ΟΙΚΟΝΟΜΙΚΗ ΠΡΟΣΦΟΡΑ</w:t>
      </w:r>
    </w:p>
    <w:p w:rsidR="00ED2773" w:rsidRDefault="00ED2773" w:rsidP="00ED2773">
      <w:pPr>
        <w:spacing w:before="57" w:after="57"/>
        <w:rPr>
          <w:b/>
          <w:bCs/>
          <w:lang w:val="el-GR"/>
        </w:rPr>
      </w:pPr>
    </w:p>
    <w:p w:rsidR="00ED2773" w:rsidRDefault="00ED2773" w:rsidP="00ED2773">
      <w:pPr>
        <w:spacing w:before="57" w:after="57" w:line="276" w:lineRule="auto"/>
        <w:rPr>
          <w:lang w:val="el-GR"/>
        </w:rPr>
      </w:pPr>
      <w:r w:rsidRPr="006174CB">
        <w:rPr>
          <w:lang w:val="el-GR"/>
        </w:rPr>
        <w:t xml:space="preserve">Που αφορά στον Ανοικτό διαγωνισμό </w:t>
      </w:r>
      <w:r>
        <w:rPr>
          <w:lang w:val="el-GR"/>
        </w:rPr>
        <w:t xml:space="preserve">στο </w:t>
      </w:r>
      <w:r w:rsidRPr="00EB49BB">
        <w:rPr>
          <w:lang w:val="el-GR"/>
        </w:rPr>
        <w:t xml:space="preserve">πλαίσιο του </w:t>
      </w:r>
      <w:proofErr w:type="spellStart"/>
      <w:r w:rsidRPr="00EB49BB">
        <w:rPr>
          <w:lang w:val="el-GR"/>
        </w:rPr>
        <w:t>Υποέργου</w:t>
      </w:r>
      <w:proofErr w:type="spellEnd"/>
      <w:r w:rsidRPr="00EB49BB">
        <w:rPr>
          <w:lang w:val="el-GR"/>
        </w:rPr>
        <w:t xml:space="preserve"> 1 «</w:t>
      </w:r>
      <w:r w:rsidRPr="00707573">
        <w:rPr>
          <w:lang w:val="el-GR"/>
        </w:rPr>
        <w:t xml:space="preserve">Ψηφιακός Μετασχηματισμός Δήμου </w:t>
      </w:r>
      <w:r>
        <w:rPr>
          <w:lang w:val="el-GR"/>
        </w:rPr>
        <w:t>Παιανίας», της πράξης «</w:t>
      </w:r>
      <w:r w:rsidRPr="00707573">
        <w:rPr>
          <w:lang w:val="el-GR"/>
        </w:rPr>
        <w:t xml:space="preserve">Δράσεις Ψηφιακού Μετασχηματισμού Δήμου </w:t>
      </w:r>
      <w:r>
        <w:rPr>
          <w:lang w:val="el-GR"/>
        </w:rPr>
        <w:t>Παιανίας», π</w:t>
      </w:r>
      <w:r w:rsidRPr="006174CB">
        <w:rPr>
          <w:lang w:val="el-GR"/>
        </w:rPr>
        <w:t xml:space="preserve">ροϋπολογισθείσας δαπάνης </w:t>
      </w:r>
      <w:r>
        <w:rPr>
          <w:b/>
          <w:bCs/>
          <w:lang w:val="el-GR"/>
        </w:rPr>
        <w:t>292.753,56</w:t>
      </w:r>
      <w:r w:rsidRPr="00872F90">
        <w:rPr>
          <w:b/>
          <w:bCs/>
          <w:lang w:val="el-GR"/>
        </w:rPr>
        <w:t>€</w:t>
      </w:r>
      <w:r w:rsidRPr="006174CB">
        <w:rPr>
          <w:lang w:val="el-GR"/>
        </w:rPr>
        <w:t>, συμπεριλαμβανομένου του Φ.Π.Α. Αφού έλαβα γνώση των στοιχείων της μελέτης που αφορά στην προμήθεια, την διακήρυξη αυτής με τα</w:t>
      </w:r>
      <w:r>
        <w:rPr>
          <w:lang w:val="el-GR"/>
        </w:rPr>
        <w:t xml:space="preserve"> </w:t>
      </w:r>
      <w:r w:rsidRPr="006174CB">
        <w:rPr>
          <w:lang w:val="el-GR"/>
        </w:rPr>
        <w:t>παραρτήματά της, καθώς και των συνθηκών εκτέλεσης της προμήθειας αυτής, υποβάλλω την παρούσα</w:t>
      </w:r>
      <w:r>
        <w:rPr>
          <w:lang w:val="el-GR"/>
        </w:rPr>
        <w:t xml:space="preserve"> </w:t>
      </w:r>
      <w:r w:rsidRPr="006174CB">
        <w:rPr>
          <w:lang w:val="el-GR"/>
        </w:rPr>
        <w:t>προσφορά και δηλώνω ότι αποδέχομαι πλήρως και χωρίς επιφύλαξη ταύτα και αναλαμβάνω την παροχή</w:t>
      </w:r>
      <w:r>
        <w:rPr>
          <w:lang w:val="el-GR"/>
        </w:rPr>
        <w:t xml:space="preserve"> </w:t>
      </w:r>
      <w:r w:rsidRPr="006174CB">
        <w:rPr>
          <w:lang w:val="el-GR"/>
        </w:rPr>
        <w:t xml:space="preserve">της προμήθειας με τις ακόλουθες τιμές και την συνολική τιμή επί του συνολικού προϋπολογισμού αυτής. </w:t>
      </w:r>
      <w:r>
        <w:rPr>
          <w:lang w:val="el-GR"/>
        </w:rPr>
        <w:t xml:space="preserve"> </w:t>
      </w: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3423"/>
        <w:gridCol w:w="922"/>
        <w:gridCol w:w="805"/>
        <w:gridCol w:w="1084"/>
        <w:gridCol w:w="1084"/>
        <w:gridCol w:w="1171"/>
        <w:gridCol w:w="1341"/>
      </w:tblGrid>
      <w:tr w:rsidR="00ED2773" w:rsidRPr="00D1305B" w:rsidTr="008A3190">
        <w:trPr>
          <w:trHeight w:val="444"/>
          <w:jc w:val="center"/>
        </w:trPr>
        <w:tc>
          <w:tcPr>
            <w:tcW w:w="440" w:type="dxa"/>
            <w:vMerge w:val="restart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ind w:left="-120" w:right="-109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3423" w:type="dxa"/>
            <w:vMerge w:val="restart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ΠΕΡΙΓΡΑΦΗ</w:t>
            </w:r>
          </w:p>
        </w:tc>
        <w:tc>
          <w:tcPr>
            <w:tcW w:w="922" w:type="dxa"/>
            <w:vMerge w:val="restart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ind w:left="-108" w:right="-11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805" w:type="dxa"/>
            <w:vMerge w:val="restart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ind w:left="-42" w:right="-108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ΜΟΝΑΔΑ</w:t>
            </w:r>
          </w:p>
        </w:tc>
        <w:tc>
          <w:tcPr>
            <w:tcW w:w="2168" w:type="dxa"/>
            <w:gridSpan w:val="2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  <w:lang w:val="el-GR"/>
              </w:rPr>
              <w:t>ΑΞΙΑ ΧΩΡΙΣ Φ.Π.Α.</w:t>
            </w:r>
            <w:r w:rsidRPr="00614101">
              <w:rPr>
                <w:rFonts w:eastAsia="Calibri"/>
                <w:b/>
                <w:color w:val="000000"/>
                <w:sz w:val="18"/>
                <w:szCs w:val="18"/>
                <w:lang w:val="el-GR"/>
              </w:rPr>
              <w:br/>
              <w:t>[€]</w:t>
            </w:r>
          </w:p>
        </w:tc>
        <w:tc>
          <w:tcPr>
            <w:tcW w:w="1171" w:type="dxa"/>
            <w:vMerge w:val="restart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Φ.Π.Α. [€]</w:t>
            </w:r>
          </w:p>
        </w:tc>
        <w:tc>
          <w:tcPr>
            <w:tcW w:w="1341" w:type="dxa"/>
            <w:vMerge w:val="restart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ind w:left="-42" w:right="-102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  <w:lang w:val="el-GR"/>
              </w:rPr>
              <w:t>ΣΥΝΟΛΙΚΗ ΑΞΙΑ  ΜΕ Φ.Π.Α. 24% [€]</w:t>
            </w:r>
          </w:p>
        </w:tc>
      </w:tr>
      <w:tr w:rsidR="00ED2773" w:rsidRPr="00614101" w:rsidTr="008A3190">
        <w:trPr>
          <w:trHeight w:val="444"/>
          <w:jc w:val="center"/>
        </w:trPr>
        <w:tc>
          <w:tcPr>
            <w:tcW w:w="440" w:type="dxa"/>
            <w:vMerge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3423" w:type="dxa"/>
            <w:vMerge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922" w:type="dxa"/>
            <w:vMerge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805" w:type="dxa"/>
            <w:vMerge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ΤΙΜΗ ΜΟΝΑΔΑΣ</w:t>
            </w:r>
          </w:p>
        </w:tc>
        <w:tc>
          <w:tcPr>
            <w:tcW w:w="1084" w:type="dxa"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ΣΥΝΟΛΟ</w:t>
            </w:r>
          </w:p>
        </w:tc>
        <w:tc>
          <w:tcPr>
            <w:tcW w:w="1171" w:type="dxa"/>
            <w:vMerge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E6E6E6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D1305B" w:rsidTr="008A3190">
        <w:trPr>
          <w:trHeight w:val="394"/>
          <w:jc w:val="center"/>
        </w:trPr>
        <w:tc>
          <w:tcPr>
            <w:tcW w:w="10270" w:type="dxa"/>
            <w:gridSpan w:val="8"/>
            <w:shd w:val="clear" w:color="auto" w:fill="F2F2F2"/>
            <w:vAlign w:val="center"/>
          </w:tcPr>
          <w:p w:rsidR="00ED2773" w:rsidRPr="00614101" w:rsidRDefault="00ED2773" w:rsidP="008A3190">
            <w:pPr>
              <w:widowControl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  <w:t>Έξυπνες διαβάσεις πεζών και φιλικές προς ΑΜΕΑ</w:t>
            </w:r>
          </w:p>
        </w:tc>
      </w:tr>
      <w:tr w:rsidR="00ED2773" w:rsidRPr="00614101" w:rsidTr="008A3190">
        <w:trPr>
          <w:trHeight w:val="286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Μελέτη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εφ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αρμογής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5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Προμήθει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υλικών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δι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αγράμμισης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5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3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Υπηρεσίες διαγράμμισης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4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Aτσάλινος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Ιστός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5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Φωτιστικό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LED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6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Πιν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ακίδα Π21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7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Αισθητήρας Κίνησης Πεζών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8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Αιασθητήρας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ανίχνευσης οχημάτων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9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9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Αν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αλάμπων Φα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Φωτο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βολταϊκό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Κιτ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Μπ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ουτόν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Πεζών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ΑΜΕΑ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Μονάδα ηχητικής ειδοποίησης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3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Αν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ακλαστήρας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Οδοστρώμ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ατος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40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4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Μονάδ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Ελέγχου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 w:right="-108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Τεμάχι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86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5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Υπηρεσίες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Εγκ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ατάσταση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ς</w:t>
            </w:r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  <w:p w:rsidR="00ED2773" w:rsidRPr="00621B60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2,5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86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6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Υπηρεσίες εκπαίδευσης 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δύο (2) χρηστών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286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7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Υπηρεσίες πιλοτικής λειτουργίας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805" w:type="dxa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sz w:val="18"/>
                <w:szCs w:val="18"/>
                <w:lang w:val="el-GR" w:eastAsia="en-US"/>
              </w:rPr>
              <w:t>Α/Μ</w:t>
            </w: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D1305B" w:rsidTr="008A3190">
        <w:trPr>
          <w:trHeight w:val="340"/>
          <w:jc w:val="center"/>
        </w:trPr>
        <w:tc>
          <w:tcPr>
            <w:tcW w:w="10270" w:type="dxa"/>
            <w:gridSpan w:val="8"/>
            <w:shd w:val="clear" w:color="auto" w:fill="F2F2F2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  <w:t xml:space="preserve">Σύστημα διαχείρισης δημοτικών κοιμητηρίων και </w:t>
            </w:r>
            <w:proofErr w:type="spellStart"/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  <w:t>ψηφιοποίηση</w:t>
            </w:r>
            <w:proofErr w:type="spellEnd"/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  <w:t xml:space="preserve"> φακέλων</w:t>
            </w: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lastRenderedPageBreak/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8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Πλατφόρμα διαχείρισης για το αντικείμενο της δράσης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5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9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ψηφιο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ποίησης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59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20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Υπηρεσίες εγκατάστασης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0,4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55"/>
          <w:jc w:val="center"/>
        </w:trPr>
        <w:tc>
          <w:tcPr>
            <w:tcW w:w="440" w:type="dxa"/>
            <w:vAlign w:val="center"/>
          </w:tcPr>
          <w:p w:rsidR="00ED2773" w:rsidRPr="00614101" w:rsidDel="00B8057B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2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Υπηρεσίες παραμετροποίησης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0,3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55"/>
          <w:jc w:val="center"/>
        </w:trPr>
        <w:tc>
          <w:tcPr>
            <w:tcW w:w="440" w:type="dxa"/>
            <w:vAlign w:val="center"/>
          </w:tcPr>
          <w:p w:rsidR="00ED2773" w:rsidRPr="00614101" w:rsidDel="00B8057B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2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Υπηρεσίες εκπαίδευσης πέντε (5)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χρηστών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0,2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291"/>
          <w:jc w:val="center"/>
        </w:trPr>
        <w:tc>
          <w:tcPr>
            <w:tcW w:w="440" w:type="dxa"/>
            <w:vAlign w:val="center"/>
          </w:tcPr>
          <w:p w:rsidR="00ED2773" w:rsidRPr="00614101" w:rsidDel="00B8057B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2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3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Υπηρεσίες πιλοτικής λειτουργίας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0,3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D1305B" w:rsidTr="008A3190">
        <w:trPr>
          <w:trHeight w:val="439"/>
          <w:jc w:val="center"/>
        </w:trPr>
        <w:tc>
          <w:tcPr>
            <w:tcW w:w="10270" w:type="dxa"/>
            <w:gridSpan w:val="8"/>
            <w:shd w:val="clear" w:color="auto" w:fill="F2F2F2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  <w:t>Ηλεκτρονικό σύστημα διαχείρισης και οργάνωσης της Διοίκησης και της επιχειρησιακής ικανότητας των ΟΤΑ</w:t>
            </w: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24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Υποσύστημα σχεδιασμού ανάπτυξης και διαχείρισης διαδικασιών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25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Υποσύστημα σχεδιασμού ανάπτυξης και διαχείρισης φορμών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μεταδεδομένων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43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26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Σύστημ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εκτέλεσης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ροής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εργ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ασιών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27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Υποσύστημα «έξυπνης» παραγωγής και ταξινόμησης Εγγράφων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28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Υποσύστημα εισαγωγής και διαχείρισης αντικειμένων (Προϊόντων και Υπηρεσιών)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61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29</w:t>
            </w:r>
          </w:p>
        </w:tc>
        <w:tc>
          <w:tcPr>
            <w:tcW w:w="3423" w:type="dxa"/>
            <w:vAlign w:val="center"/>
          </w:tcPr>
          <w:p w:rsidR="00ED2773" w:rsidRPr="00637C4B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Mobile</w:t>
            </w:r>
            <w:r w:rsidRPr="00637C4B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app</w:t>
            </w:r>
            <w:r w:rsidRPr="00637C4B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για το υ</w:t>
            </w:r>
            <w:r w:rsidRPr="00637C4B">
              <w:rPr>
                <w:rFonts w:eastAsia="Calibri"/>
                <w:color w:val="000000"/>
                <w:sz w:val="18"/>
                <w:szCs w:val="18"/>
                <w:lang w:val="el-GR"/>
              </w:rPr>
              <w:t>ποσύστημα χρονοπρογραμματισμού συμβάντων &amp; υπενθυμίσεων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43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30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Ανάλυση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Απα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ιτήσεων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Προσ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αρμογής ΟΠΣ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16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31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Υπηρεσίες Εγκατάστασης και Παραμετροποίησης Πληροφοριακού Συστήματος για την προσαρμογή στην επιχειρησιακή λειτουργία του φορέα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34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32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εκ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παίδευσης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επτά (7)</w:t>
            </w:r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χρηστών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430"/>
          <w:jc w:val="center"/>
        </w:trPr>
        <w:tc>
          <w:tcPr>
            <w:tcW w:w="440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33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Πιλοτική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λειτουργί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Πληροφορι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ακού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Συστήμ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ατος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D1305B" w:rsidTr="008A3190">
        <w:trPr>
          <w:trHeight w:val="520"/>
          <w:jc w:val="center"/>
        </w:trPr>
        <w:tc>
          <w:tcPr>
            <w:tcW w:w="10270" w:type="dxa"/>
            <w:gridSpan w:val="8"/>
            <w:shd w:val="clear" w:color="auto" w:fill="F2F2F2"/>
            <w:vAlign w:val="center"/>
          </w:tcPr>
          <w:p w:rsidR="00ED2773" w:rsidRPr="00614101" w:rsidRDefault="00ED2773" w:rsidP="008A3190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  <w:t>Κεντρική ενιαία πλατφόρμα διαχείρισης και συλλογής δεδομένων δράσεων ψηφιακού μετασχηματισμού των ΟΤΑ</w:t>
            </w:r>
          </w:p>
        </w:tc>
      </w:tr>
      <w:tr w:rsidR="00ED2773" w:rsidRPr="00614101" w:rsidTr="008A3190">
        <w:trPr>
          <w:trHeight w:val="659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right="-114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ΠΛΑΤΦΟΡΜΑ ΔΙΑΧΕΙΡΙΣΗΣ ΓΙΑ ΤΟ ΑΝΤΙΚΕΙΜΕΝΟ ΤΗΣ ΔΡΑΣΗΣ (Κεντρική Ενιαία Πλατφόρμα Διαχείρισης και Συλλογής Δεδομένων Δράσεων) – Υποσύστημα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αυθεντικοποίησης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&amp; πρόσβασης πολιτών – Υποσύστημα διαχείρισης &amp;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αυθεντικοποίησης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υπαλλήλων – Υποσύστημα ροής διαδικασιών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583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Υποσύστημα συλλογής και διαμοιρασμού δεδομένων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ΙοΤ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Δήμου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659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Υποσύστημα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οπτικοποίησης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δεδομένων και αναφορών με λειτουργίες </w:t>
            </w:r>
            <w:r w:rsidRPr="00614101">
              <w:rPr>
                <w:rFonts w:eastAsia="Calibri"/>
                <w:color w:val="000000"/>
                <w:sz w:val="18"/>
                <w:szCs w:val="18"/>
              </w:rPr>
              <w:t>Analytics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και </w:t>
            </w:r>
            <w:r w:rsidRPr="00614101">
              <w:rPr>
                <w:rFonts w:eastAsia="Calibri"/>
                <w:color w:val="000000"/>
                <w:sz w:val="18"/>
                <w:szCs w:val="18"/>
              </w:rPr>
              <w:t>Reporting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(</w:t>
            </w:r>
            <w:r w:rsidRPr="00614101">
              <w:rPr>
                <w:rFonts w:eastAsia="Calibri"/>
                <w:color w:val="000000"/>
                <w:sz w:val="18"/>
                <w:szCs w:val="18"/>
              </w:rPr>
              <w:t>BI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76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3423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οσύστημ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ενημέρωσης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ολιτών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web)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Υποσύστημα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διαλειτουργικότητας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, διασύνδεσης και ροής διαδικασιών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Mobile application </w:t>
            </w: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ενημέρωσης πολιτών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529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Υπηρεσίες εγκατάστασης και παραμετροποίησης συστήματος </w:t>
            </w:r>
          </w:p>
        </w:tc>
        <w:tc>
          <w:tcPr>
            <w:tcW w:w="922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4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76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εκ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παίδευσης 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δύο (2)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χρηστών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0,3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556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lastRenderedPageBreak/>
              <w:t>42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ιλοτικής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λειτουργί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ας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συστήμ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ατος </w:t>
            </w:r>
          </w:p>
        </w:tc>
        <w:tc>
          <w:tcPr>
            <w:tcW w:w="922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340"/>
          <w:jc w:val="center"/>
        </w:trPr>
        <w:tc>
          <w:tcPr>
            <w:tcW w:w="10270" w:type="dxa"/>
            <w:gridSpan w:val="8"/>
            <w:shd w:val="clear" w:color="auto" w:fill="F2F2F2"/>
            <w:vAlign w:val="center"/>
          </w:tcPr>
          <w:p w:rsidR="00ED2773" w:rsidRPr="00621B60" w:rsidRDefault="00ED2773" w:rsidP="008A3190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  <w:proofErr w:type="spellStart"/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</w:rPr>
              <w:t>Ηλεκτρονική</w:t>
            </w:r>
            <w:proofErr w:type="spellEnd"/>
            <w:r w:rsidRPr="00614101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 Τιμολόγηση</w:t>
            </w:r>
          </w:p>
        </w:tc>
      </w:tr>
      <w:tr w:rsidR="00ED2773" w:rsidRPr="00614101" w:rsidTr="008A3190">
        <w:trPr>
          <w:trHeight w:val="304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Εφαρμογή για το αντικείμενο της δράσης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Άδειες</w:t>
            </w:r>
            <w:proofErr w:type="spellEnd"/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40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εγκ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ατάστασης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94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παρα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μετρο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ποίησης 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520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ιλοτικής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λειτουργί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ας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συστήμ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ατος</w:t>
            </w:r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ED2773" w:rsidRPr="00614101" w:rsidTr="008A3190">
        <w:trPr>
          <w:trHeight w:val="439"/>
          <w:jc w:val="center"/>
        </w:trPr>
        <w:tc>
          <w:tcPr>
            <w:tcW w:w="440" w:type="dxa"/>
            <w:vAlign w:val="center"/>
          </w:tcPr>
          <w:p w:rsidR="00ED2773" w:rsidRPr="00621B60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3423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Υπ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ηρεσίες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εκ</w:t>
            </w:r>
            <w:proofErr w:type="spellEnd"/>
            <w:r w:rsidRPr="00614101">
              <w:rPr>
                <w:rFonts w:eastAsia="Calibri"/>
                <w:color w:val="000000"/>
                <w:sz w:val="18"/>
                <w:szCs w:val="18"/>
              </w:rPr>
              <w:t>παίδευσης</w:t>
            </w:r>
            <w:r>
              <w:rPr>
                <w:rFonts w:eastAsia="Calibri"/>
                <w:color w:val="000000"/>
                <w:sz w:val="18"/>
                <w:szCs w:val="18"/>
                <w:lang w:val="el-GR"/>
              </w:rPr>
              <w:t xml:space="preserve"> δύο (2) </w:t>
            </w:r>
            <w:r w:rsidRPr="00614101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4101">
              <w:rPr>
                <w:rFonts w:eastAsia="Calibri"/>
                <w:color w:val="000000"/>
                <w:sz w:val="18"/>
                <w:szCs w:val="18"/>
              </w:rPr>
              <w:t>χρηστών</w:t>
            </w:r>
            <w:proofErr w:type="spellEnd"/>
          </w:p>
        </w:tc>
        <w:tc>
          <w:tcPr>
            <w:tcW w:w="922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05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084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jc w:val="right"/>
              <w:rPr>
                <w:rFonts w:eastAsia="Calibri"/>
                <w:color w:val="000000"/>
                <w:sz w:val="18"/>
                <w:szCs w:val="18"/>
                <w:lang w:val="el-GR"/>
              </w:rPr>
            </w:pPr>
          </w:p>
        </w:tc>
      </w:tr>
      <w:tr w:rsidR="00ED2773" w:rsidRPr="00614101" w:rsidTr="008A3190">
        <w:trPr>
          <w:trHeight w:val="300"/>
          <w:jc w:val="center"/>
        </w:trPr>
        <w:tc>
          <w:tcPr>
            <w:tcW w:w="6674" w:type="dxa"/>
            <w:gridSpan w:val="5"/>
            <w:vAlign w:val="center"/>
          </w:tcPr>
          <w:p w:rsidR="00ED2773" w:rsidRPr="00614101" w:rsidRDefault="00ED2773" w:rsidP="008A3190">
            <w:pPr>
              <w:widowControl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  <w:r w:rsidRPr="00614101">
              <w:rPr>
                <w:rFonts w:eastAsia="Calibri"/>
                <w:b/>
                <w:color w:val="000000"/>
                <w:sz w:val="18"/>
                <w:szCs w:val="18"/>
              </w:rPr>
              <w:t> ΣΥΝΟΛΟ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08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171" w:type="dxa"/>
            <w:shd w:val="clear" w:color="auto" w:fill="D9D9D9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38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:rsidR="00ED2773" w:rsidRPr="00614101" w:rsidRDefault="00ED2773" w:rsidP="008A3190">
            <w:pPr>
              <w:widowControl w:val="0"/>
              <w:spacing w:after="0"/>
              <w:ind w:left="-114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  <w:lang w:val="el-GR"/>
              </w:rPr>
            </w:pPr>
          </w:p>
        </w:tc>
      </w:tr>
    </w:tbl>
    <w:p w:rsidR="00ED2773" w:rsidRDefault="00ED2773" w:rsidP="00ED2773">
      <w:pPr>
        <w:spacing w:before="57" w:after="57" w:line="276" w:lineRule="auto"/>
        <w:rPr>
          <w:lang w:val="el-GR"/>
        </w:rPr>
      </w:pPr>
    </w:p>
    <w:p w:rsidR="00ED2773" w:rsidRDefault="00ED2773" w:rsidP="00ED2773">
      <w:pPr>
        <w:suppressAutoHyphens w:val="0"/>
        <w:spacing w:after="0"/>
        <w:jc w:val="left"/>
        <w:rPr>
          <w:b/>
          <w:lang w:val="el-GR"/>
        </w:rPr>
      </w:pPr>
    </w:p>
    <w:p w:rsidR="00ED2773" w:rsidRDefault="00ED2773" w:rsidP="00ED2773">
      <w:pPr>
        <w:jc w:val="right"/>
        <w:rPr>
          <w:lang w:val="el-GR"/>
        </w:rPr>
      </w:pPr>
    </w:p>
    <w:p w:rsidR="00ED2773" w:rsidRDefault="00ED2773" w:rsidP="00ED2773">
      <w:pPr>
        <w:jc w:val="right"/>
        <w:rPr>
          <w:lang w:val="el-GR"/>
        </w:rPr>
      </w:pPr>
      <w:r>
        <w:rPr>
          <w:lang w:val="el-GR"/>
        </w:rPr>
        <w:t>…………………., …/…/20..</w:t>
      </w:r>
    </w:p>
    <w:p w:rsidR="00ED2773" w:rsidRDefault="00ED2773" w:rsidP="00ED2773">
      <w:pPr>
        <w:jc w:val="left"/>
        <w:rPr>
          <w:lang w:val="el-GR"/>
        </w:rPr>
      </w:pPr>
    </w:p>
    <w:p w:rsidR="00ED2773" w:rsidRDefault="00ED2773" w:rsidP="00ED2773">
      <w:pPr>
        <w:jc w:val="left"/>
        <w:rPr>
          <w:lang w:val="el-GR"/>
        </w:rPr>
      </w:pPr>
      <w:r>
        <w:rPr>
          <w:lang w:val="el-GR"/>
        </w:rPr>
        <w:t>Ο ΠΡΟΣΦΕΡΩΝ</w:t>
      </w:r>
    </w:p>
    <w:p w:rsidR="00ED2773" w:rsidRDefault="00ED2773" w:rsidP="00ED2773">
      <w:pPr>
        <w:jc w:val="left"/>
        <w:rPr>
          <w:lang w:val="el-GR"/>
        </w:rPr>
      </w:pPr>
    </w:p>
    <w:p w:rsidR="00ED2773" w:rsidRDefault="00ED2773" w:rsidP="00ED2773">
      <w:pPr>
        <w:jc w:val="left"/>
        <w:rPr>
          <w:lang w:val="el-GR"/>
        </w:rPr>
      </w:pPr>
    </w:p>
    <w:p w:rsidR="00ED2773" w:rsidRPr="008B50D0" w:rsidRDefault="00ED2773" w:rsidP="00ED2773">
      <w:pPr>
        <w:rPr>
          <w:b/>
          <w:bCs/>
          <w:lang w:val="el-GR"/>
        </w:rPr>
      </w:pPr>
      <w:r w:rsidRPr="008B50D0">
        <w:rPr>
          <w:b/>
          <w:bCs/>
          <w:lang w:val="el-GR"/>
        </w:rPr>
        <w:t>Σημείωση: Η παρούσα υποβάλλεται σε μορφή .</w:t>
      </w:r>
      <w:proofErr w:type="spellStart"/>
      <w:r w:rsidRPr="008B50D0">
        <w:rPr>
          <w:b/>
          <w:bCs/>
          <w:lang w:val="el-GR"/>
        </w:rPr>
        <w:t>pdf</w:t>
      </w:r>
      <w:proofErr w:type="spellEnd"/>
      <w:r w:rsidRPr="008B50D0">
        <w:rPr>
          <w:b/>
          <w:bCs/>
          <w:lang w:val="el-GR"/>
        </w:rPr>
        <w:t xml:space="preserve"> στον </w:t>
      </w:r>
      <w:proofErr w:type="spellStart"/>
      <w:r w:rsidRPr="008B50D0">
        <w:rPr>
          <w:b/>
          <w:bCs/>
          <w:lang w:val="el-GR"/>
        </w:rPr>
        <w:t>υποφάκελο</w:t>
      </w:r>
      <w:proofErr w:type="spellEnd"/>
      <w:r w:rsidRPr="008B50D0">
        <w:rPr>
          <w:b/>
          <w:bCs/>
          <w:lang w:val="el-GR"/>
        </w:rPr>
        <w:t xml:space="preserve"> της οικονομικής προσφοράς, φέροντας την ψηφιακή υπογραφή του προσφέροντος.</w:t>
      </w:r>
    </w:p>
    <w:p w:rsidR="00142F5B" w:rsidRPr="00ED2773" w:rsidRDefault="00142F5B">
      <w:pPr>
        <w:rPr>
          <w:lang w:val="el-GR"/>
        </w:rPr>
      </w:pPr>
      <w:bookmarkStart w:id="0" w:name="_GoBack"/>
      <w:bookmarkEnd w:id="0"/>
    </w:p>
    <w:sectPr w:rsidR="00142F5B" w:rsidRPr="00ED2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DD"/>
    <w:rsid w:val="00142F5B"/>
    <w:rsid w:val="00682FDD"/>
    <w:rsid w:val="00E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15E64-DBE9-47B0-986D-BFD2BFE6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7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ΔΙΟΝΥΣΗΣ ΒΑΣΙΛΕΙΟΥ</dc:creator>
  <cp:keywords/>
  <dc:description/>
  <cp:lastModifiedBy>ΔΙΟΝΥΣΗΣ ΒΑΣΙΛΕΙΟΥ</cp:lastModifiedBy>
  <cp:revision>2</cp:revision>
  <dcterms:created xsi:type="dcterms:W3CDTF">2026-07-13T10:41:00Z</dcterms:created>
  <dcterms:modified xsi:type="dcterms:W3CDTF">2026-07-13T10:44:00Z</dcterms:modified>
</cp:coreProperties>
</file>